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72F89" w14:textId="7C46ACF0" w:rsidR="00CD49C0" w:rsidRPr="00915CEF" w:rsidRDefault="00BE6DC7" w:rsidP="00915CEF">
      <w:pPr>
        <w:jc w:val="right"/>
        <w:rPr>
          <w:b/>
          <w:bCs/>
          <w:sz w:val="28"/>
          <w:szCs w:val="28"/>
        </w:rPr>
      </w:pPr>
      <w:r w:rsidRPr="00915CEF">
        <w:rPr>
          <w:b/>
          <w:bCs/>
          <w:sz w:val="28"/>
          <w:szCs w:val="28"/>
        </w:rPr>
        <w:t>Prix de l’eau pour les agriculteurs</w:t>
      </w:r>
    </w:p>
    <w:p w14:paraId="3E657171" w14:textId="54BDD870" w:rsidR="00BE6DC7" w:rsidRDefault="00BE6DC7"/>
    <w:p w14:paraId="1225191B" w14:textId="3218CECA" w:rsidR="00BE6DC7" w:rsidRPr="00915CEF" w:rsidRDefault="00BE6DC7">
      <w:pPr>
        <w:rPr>
          <w:b/>
          <w:bCs/>
        </w:rPr>
      </w:pPr>
      <w:r w:rsidRPr="00915CEF">
        <w:rPr>
          <w:b/>
          <w:bCs/>
        </w:rPr>
        <w:t>Note d’information à l’attention des élus de Pont de Montvert – Sud Mont Lozère.</w:t>
      </w:r>
    </w:p>
    <w:p w14:paraId="2FC7D25C" w14:textId="0DF9056E" w:rsidR="00BE6DC7" w:rsidRPr="00915CEF" w:rsidRDefault="00BE6DC7">
      <w:pPr>
        <w:rPr>
          <w:b/>
          <w:bCs/>
        </w:rPr>
      </w:pPr>
      <w:r w:rsidRPr="00915CEF">
        <w:rPr>
          <w:b/>
          <w:bCs/>
        </w:rPr>
        <w:t>Date : 11/12/2020</w:t>
      </w:r>
    </w:p>
    <w:p w14:paraId="255217AB" w14:textId="5962B244" w:rsidR="00BE6DC7" w:rsidRDefault="00BE6DC7"/>
    <w:p w14:paraId="36BFF0E5" w14:textId="77777777" w:rsidR="004402A3" w:rsidRPr="00915CEF" w:rsidRDefault="00BE6DC7">
      <w:pPr>
        <w:rPr>
          <w:b/>
          <w:bCs/>
          <w:sz w:val="24"/>
          <w:szCs w:val="24"/>
        </w:rPr>
      </w:pPr>
      <w:r w:rsidRPr="00915CEF">
        <w:rPr>
          <w:b/>
          <w:bCs/>
          <w:sz w:val="24"/>
          <w:szCs w:val="24"/>
        </w:rPr>
        <w:t xml:space="preserve">Principe général : </w:t>
      </w:r>
    </w:p>
    <w:p w14:paraId="3A5DCEEB" w14:textId="3A99BBA1" w:rsidR="00BE6DC7" w:rsidRDefault="00BE6DC7">
      <w:r w:rsidRPr="00BE6DC7">
        <w:t>La loi sur l’eau et les milieux aquatiques du 30 décembre 2006 a posé le principe d'une tarification de l'eau en fonction du volume d'eau consommé par l'abonné (</w:t>
      </w:r>
      <w:bookmarkStart w:id="0" w:name="article_L2224-12-4_CGCT"/>
      <w:r w:rsidRPr="00BE6DC7">
        <w:fldChar w:fldCharType="begin"/>
      </w:r>
      <w:r w:rsidRPr="00BE6DC7">
        <w:instrText xml:space="preserve"> HYPERLINK "http://www.legifrance.gouv.fr/affichCodeArticle.do;jsessionid=C42D1D325D96BCC1D4C969903506DE9E.tpdjo07v_1?idArticle=LEGIARTI000006390375&amp;cidTexte=LEGITEXT000006070633&amp;dateTexte=20100927" \o "article L2224-12-4 CGCT" \t "_blank" </w:instrText>
      </w:r>
      <w:r w:rsidRPr="00BE6DC7">
        <w:fldChar w:fldCharType="separate"/>
      </w:r>
      <w:r w:rsidRPr="00BE6DC7">
        <w:rPr>
          <w:rStyle w:val="Lienhypertexte"/>
        </w:rPr>
        <w:t>art. L.2224-12-4 I</w:t>
      </w:r>
      <w:r w:rsidRPr="00BE6DC7">
        <w:fldChar w:fldCharType="end"/>
      </w:r>
      <w:bookmarkEnd w:id="0"/>
      <w:r w:rsidRPr="00BE6DC7">
        <w:t> du CGCT).</w:t>
      </w:r>
      <w:r>
        <w:t xml:space="preserve"> Et ce quelle que soit la « nature » de l’abonné. </w:t>
      </w:r>
    </w:p>
    <w:p w14:paraId="730A3750" w14:textId="77777777" w:rsidR="00BE6DC7" w:rsidRDefault="00BE6DC7"/>
    <w:p w14:paraId="03CF8339" w14:textId="69F8E036" w:rsidR="00BE6DC7" w:rsidRPr="00915CEF" w:rsidRDefault="00BE6DC7">
      <w:pPr>
        <w:rPr>
          <w:b/>
          <w:bCs/>
          <w:sz w:val="24"/>
          <w:szCs w:val="24"/>
        </w:rPr>
      </w:pPr>
      <w:r w:rsidRPr="00915CEF">
        <w:rPr>
          <w:b/>
          <w:bCs/>
          <w:sz w:val="24"/>
          <w:szCs w:val="24"/>
        </w:rPr>
        <w:t xml:space="preserve">Exception légale possible : </w:t>
      </w:r>
    </w:p>
    <w:p w14:paraId="0BBE640B" w14:textId="3C328018" w:rsidR="00BE6DC7" w:rsidRPr="00915CEF" w:rsidRDefault="00BE6DC7" w:rsidP="00BE6DC7">
      <w:pPr>
        <w:pStyle w:val="Paragraphedeliste"/>
        <w:numPr>
          <w:ilvl w:val="0"/>
          <w:numId w:val="1"/>
        </w:numPr>
        <w:rPr>
          <w:b/>
          <w:bCs/>
        </w:rPr>
      </w:pPr>
      <w:r w:rsidRPr="00915CEF">
        <w:rPr>
          <w:b/>
          <w:bCs/>
        </w:rPr>
        <w:t>La tarification au forfait.</w:t>
      </w:r>
    </w:p>
    <w:p w14:paraId="39D2FAA8" w14:textId="77777777" w:rsidR="00BE6DC7" w:rsidRPr="00BE6DC7" w:rsidRDefault="00BE6DC7" w:rsidP="00BE6DC7">
      <w:pPr>
        <w:ind w:left="360"/>
      </w:pPr>
      <w:r>
        <w:t xml:space="preserve">Elle est en principe interdite, néanmoins une exception à ce principe est établie </w:t>
      </w:r>
      <w:r w:rsidRPr="00BE6DC7">
        <w:t>par l'alinéa 3 du I de </w:t>
      </w:r>
      <w:hyperlink r:id="rId8" w:tgtFrame="_blank" w:tooltip="article L2224-12-4 CGCT" w:history="1">
        <w:r w:rsidRPr="00BE6DC7">
          <w:rPr>
            <w:rStyle w:val="Lienhypertexte"/>
          </w:rPr>
          <w:t>l'article L. 2224-12-4</w:t>
        </w:r>
      </w:hyperlink>
      <w:r w:rsidRPr="00BE6DC7">
        <w:t> du CGCT et permet le recours à une tarification indépendante du volume consommé aux conditions cumulatives suivantes :</w:t>
      </w:r>
    </w:p>
    <w:p w14:paraId="6DE6C77C" w14:textId="70AF5EF7" w:rsidR="00BE6DC7" w:rsidRPr="00BE6DC7" w:rsidRDefault="00BE6DC7" w:rsidP="00BE6DC7">
      <w:pPr>
        <w:numPr>
          <w:ilvl w:val="0"/>
          <w:numId w:val="2"/>
        </w:numPr>
      </w:pPr>
      <w:r w:rsidRPr="00BE6DC7">
        <w:t>L’autorisation</w:t>
      </w:r>
      <w:r w:rsidRPr="00BE6DC7">
        <w:t xml:space="preserve"> de la tarification forfaitaire est </w:t>
      </w:r>
      <w:r w:rsidRPr="00BE6DC7">
        <w:rPr>
          <w:color w:val="FF0000"/>
        </w:rPr>
        <w:t xml:space="preserve">décidée par le préfet </w:t>
      </w:r>
      <w:r w:rsidRPr="00BE6DC7">
        <w:t>...</w:t>
      </w:r>
    </w:p>
    <w:p w14:paraId="497FD2B0" w14:textId="77777777" w:rsidR="00BE6DC7" w:rsidRPr="00BE6DC7" w:rsidRDefault="00BE6DC7" w:rsidP="00BE6DC7">
      <w:pPr>
        <w:numPr>
          <w:ilvl w:val="0"/>
          <w:numId w:val="2"/>
        </w:numPr>
      </w:pPr>
      <w:r w:rsidRPr="00BE6DC7">
        <w:t xml:space="preserve">... </w:t>
      </w:r>
      <w:r w:rsidRPr="00BE6DC7">
        <w:rPr>
          <w:color w:val="FF0000"/>
        </w:rPr>
        <w:t xml:space="preserve">sur demande du maire </w:t>
      </w:r>
      <w:r w:rsidRPr="00BE6DC7">
        <w:t>ou président de la collectivité compétente ...</w:t>
      </w:r>
    </w:p>
    <w:p w14:paraId="47C2807B" w14:textId="77777777" w:rsidR="00BE6DC7" w:rsidRPr="00BE6DC7" w:rsidRDefault="00BE6DC7" w:rsidP="00BE6DC7">
      <w:pPr>
        <w:numPr>
          <w:ilvl w:val="0"/>
          <w:numId w:val="2"/>
        </w:numPr>
      </w:pPr>
      <w:r w:rsidRPr="00BE6DC7">
        <w:t>... dans les conditions prévues par décret en Conseil d'Etat</w:t>
      </w:r>
      <w:r w:rsidRPr="00BE6DC7">
        <w:rPr>
          <w:i/>
          <w:iCs/>
        </w:rPr>
        <w:t> (cf. décret n° 2007-1339 du 11 septembre 2007, art. 2 codifié à </w:t>
      </w:r>
      <w:bookmarkStart w:id="1" w:name="article_R2224-20_CGCT"/>
      <w:r w:rsidRPr="00BE6DC7">
        <w:rPr>
          <w:i/>
          <w:iCs/>
        </w:rPr>
        <w:fldChar w:fldCharType="begin"/>
      </w:r>
      <w:r w:rsidRPr="00BE6DC7">
        <w:rPr>
          <w:i/>
          <w:iCs/>
        </w:rPr>
        <w:instrText xml:space="preserve"> HYPERLINK "http://www.legifrance.gouv.fr/affichCodeArticle.do?idArticle=LEGIARTI000006396203&amp;cidTexte=LEGITEXT000006070633&amp;dateTexte=20100927&amp;oldAction=rechCodeArticle" \o "article R2224-20 CGCT" \t "_blank" </w:instrText>
      </w:r>
      <w:r w:rsidRPr="00BE6DC7">
        <w:rPr>
          <w:i/>
          <w:iCs/>
        </w:rPr>
        <w:fldChar w:fldCharType="separate"/>
      </w:r>
      <w:r w:rsidRPr="00BE6DC7">
        <w:rPr>
          <w:rStyle w:val="Lienhypertexte"/>
          <w:i/>
          <w:iCs/>
        </w:rPr>
        <w:t>l'article R.2224-20 </w:t>
      </w:r>
      <w:r w:rsidRPr="00BE6DC7">
        <w:fldChar w:fldCharType="end"/>
      </w:r>
      <w:bookmarkEnd w:id="1"/>
      <w:r w:rsidRPr="00BE6DC7">
        <w:rPr>
          <w:i/>
          <w:iCs/>
        </w:rPr>
        <w:t>du CGCT) ...</w:t>
      </w:r>
    </w:p>
    <w:p w14:paraId="0BC7C0A9" w14:textId="77777777" w:rsidR="00BE6DC7" w:rsidRPr="00BE6DC7" w:rsidRDefault="00BE6DC7" w:rsidP="00BE6DC7">
      <w:pPr>
        <w:numPr>
          <w:ilvl w:val="0"/>
          <w:numId w:val="2"/>
        </w:numPr>
      </w:pPr>
      <w:r w:rsidRPr="00BE6DC7">
        <w:t>... si la ressource en eau est suffisamment abondante ...</w:t>
      </w:r>
    </w:p>
    <w:p w14:paraId="0936BBEF" w14:textId="77777777" w:rsidR="00BE6DC7" w:rsidRPr="00BE6DC7" w:rsidRDefault="00BE6DC7" w:rsidP="00BE6DC7">
      <w:pPr>
        <w:numPr>
          <w:ilvl w:val="0"/>
          <w:numId w:val="2"/>
        </w:numPr>
      </w:pPr>
      <w:r w:rsidRPr="00BE6DC7">
        <w:t>... et si le nombre d'abonnés est suffisamment faible </w:t>
      </w:r>
      <w:r w:rsidRPr="00BE6DC7">
        <w:br/>
        <w:t> </w:t>
      </w:r>
    </w:p>
    <w:p w14:paraId="13D47D91" w14:textId="0A097E53" w:rsidR="00BE6DC7" w:rsidRPr="00BE6DC7" w:rsidRDefault="00BE6DC7" w:rsidP="00BE6DC7">
      <w:pPr>
        <w:ind w:left="360"/>
      </w:pPr>
      <w:r w:rsidRPr="00BE6DC7">
        <w:t>Les conditions prévues par décret en Conseil d'Etat sont les suivantes : la population de la collectivité doit être inférieure à 1000 habitants et la ressource en eau doit être naturellement abondante dans le sous-bassin ou dans la nappe d'eau souterraine utilisés par le service d'eau potable. </w:t>
      </w:r>
      <w:r w:rsidRPr="00BE6DC7">
        <w:br/>
        <w:t> </w:t>
      </w:r>
      <w:r w:rsidRPr="00BE6DC7">
        <w:br/>
      </w:r>
      <w:r>
        <w:t>Cependant, l’agriculteur</w:t>
      </w:r>
      <w:r w:rsidRPr="00BE6DC7">
        <w:t xml:space="preserve"> doit lorsqu'il est raccordé au réseau d'eau potable, disposer d'un compteur et les redevances d'eau (consommation et redevances Agence de l'Eau) et d'assainissement seront facturées sur la base du relevé de ce compteur.</w:t>
      </w:r>
    </w:p>
    <w:p w14:paraId="59E1F0ED" w14:textId="77777777" w:rsidR="00BE6DC7" w:rsidRPr="00BE6DC7" w:rsidRDefault="00BE6DC7" w:rsidP="00BE6DC7">
      <w:pPr>
        <w:ind w:left="360"/>
      </w:pPr>
      <w:r w:rsidRPr="00BE6DC7">
        <w:t>[NB : les abreuvoirs, branchements prés, irrigation sont exonérés du paiement de la redevance pollution. </w:t>
      </w:r>
      <w:r w:rsidRPr="00BE6DC7">
        <w:rPr>
          <w:i/>
          <w:iCs/>
        </w:rPr>
        <w:t>cf. </w:t>
      </w:r>
      <w:bookmarkStart w:id="2" w:name="circulaire_15_février_2008"/>
      <w:r w:rsidRPr="00BE6DC7">
        <w:rPr>
          <w:i/>
          <w:iCs/>
        </w:rPr>
        <w:fldChar w:fldCharType="begin"/>
      </w:r>
      <w:r w:rsidRPr="00BE6DC7">
        <w:rPr>
          <w:i/>
          <w:iCs/>
        </w:rPr>
        <w:instrText xml:space="preserve"> HYPERLINK "http://www.eau-artois-picardie.fr/IMG/pdf/circulaire_redevances_150208.pdf" \o "circulaire 15 février 2008" \t "_blank" </w:instrText>
      </w:r>
      <w:r w:rsidRPr="00BE6DC7">
        <w:rPr>
          <w:i/>
          <w:iCs/>
        </w:rPr>
        <w:fldChar w:fldCharType="separate"/>
      </w:r>
      <w:r w:rsidRPr="00BE6DC7">
        <w:rPr>
          <w:rStyle w:val="Lienhypertexte"/>
          <w:i/>
          <w:iCs/>
        </w:rPr>
        <w:t>circulaire du 15 février 2008 </w:t>
      </w:r>
      <w:r w:rsidRPr="00BE6DC7">
        <w:fldChar w:fldCharType="end"/>
      </w:r>
      <w:bookmarkEnd w:id="2"/>
      <w:r w:rsidRPr="00BE6DC7">
        <w:rPr>
          <w:i/>
          <w:iCs/>
        </w:rPr>
        <w:t>relative à l'application des redevances prévues aux </w:t>
      </w:r>
      <w:bookmarkStart w:id="3" w:name="article_L213-10-1_code_environnement"/>
      <w:r w:rsidRPr="00BE6DC7">
        <w:rPr>
          <w:i/>
          <w:iCs/>
        </w:rPr>
        <w:fldChar w:fldCharType="begin"/>
      </w:r>
      <w:r w:rsidRPr="00BE6DC7">
        <w:rPr>
          <w:i/>
          <w:iCs/>
        </w:rPr>
        <w:instrText xml:space="preserve"> HYPERLINK "http://www.legifrance.gouv.fr/affichCodeArticle.do?idArticle=LEGIARTI000006833059&amp;cidTexte=LEGITEXT000006074220&amp;dateTexte=20100927&amp;oldAction=rechCodeArticle" \o "article L213-10-1 code environnement" \t "_blank" </w:instrText>
      </w:r>
      <w:r w:rsidRPr="00BE6DC7">
        <w:rPr>
          <w:i/>
          <w:iCs/>
        </w:rPr>
        <w:fldChar w:fldCharType="separate"/>
      </w:r>
      <w:r w:rsidRPr="00BE6DC7">
        <w:rPr>
          <w:rStyle w:val="Lienhypertexte"/>
          <w:i/>
          <w:iCs/>
        </w:rPr>
        <w:t>articles L.213-10-1</w:t>
      </w:r>
      <w:r w:rsidRPr="00BE6DC7">
        <w:fldChar w:fldCharType="end"/>
      </w:r>
      <w:bookmarkEnd w:id="3"/>
      <w:r w:rsidRPr="00BE6DC7">
        <w:rPr>
          <w:i/>
          <w:iCs/>
        </w:rPr>
        <w:t> et suivants du code de l'environnement</w:t>
      </w:r>
      <w:r w:rsidRPr="00BE6DC7">
        <w:t>]</w:t>
      </w:r>
      <w:r w:rsidRPr="00BE6DC7">
        <w:br/>
        <w:t> </w:t>
      </w:r>
    </w:p>
    <w:p w14:paraId="7868E7FD" w14:textId="5BAFA289" w:rsidR="00BE6DC7" w:rsidRPr="00915CEF" w:rsidRDefault="00BE6DC7" w:rsidP="00BE6DC7">
      <w:pPr>
        <w:pStyle w:val="Paragraphedeliste"/>
        <w:numPr>
          <w:ilvl w:val="0"/>
          <w:numId w:val="1"/>
        </w:numPr>
        <w:rPr>
          <w:b/>
          <w:bCs/>
        </w:rPr>
      </w:pPr>
      <w:r w:rsidRPr="00915CEF">
        <w:rPr>
          <w:b/>
          <w:bCs/>
        </w:rPr>
        <w:t>Le compteur vert</w:t>
      </w:r>
    </w:p>
    <w:p w14:paraId="1B8F3A7A" w14:textId="77777777" w:rsidR="00BE6DC7" w:rsidRDefault="00BE6DC7" w:rsidP="00BE6DC7">
      <w:pPr>
        <w:ind w:left="360"/>
      </w:pPr>
      <w:r>
        <w:t>Art. R.2224-19-2 du CGCT Décret n°2007-1339 du 11 septembre 2007 Articles L.213-10-3, L.213-10-6 et L.213-11 à L.213-11-16 du code de l’environnement ; article 100 de la loi n° 2006-1772</w:t>
      </w:r>
      <w:r>
        <w:t xml:space="preserve"> </w:t>
      </w:r>
    </w:p>
    <w:p w14:paraId="7BFB3BD4" w14:textId="483DEF87" w:rsidR="00BE6DC7" w:rsidRDefault="00BE6DC7" w:rsidP="00BE6DC7">
      <w:pPr>
        <w:ind w:left="360"/>
      </w:pPr>
      <w:r>
        <w:lastRenderedPageBreak/>
        <w:t>Droit pour l’usager qui en fait la demande de mettre en place un « compteur vert » (second compteur comptabilisant uniquement l’eau pour l’arrosage, qui retourne à la terre sans avoir besoin d’être traitée). Cette possibilité est ouverte du fait de l’exonération offerte par les Agences de l’Eau de la « redevance pour pollution de l’eau d’origine domestique » pour l’arrosage des jardins. Cette possibilité provient également de la loi sur l’eau de 1992 qui distingue les différents usages de l’eau. Dans ce cas, les volumes d’eau proviennent impérativement d’un branchement distinct et/ou d’un compteur spécifique et l’usager est exonéré de la redevance d’assainissement. - Attention néanmoins, « compteur vert » ne veut pas dire pratique écologique. En effet, si l’eau acheminée au « compteur vert » provient du réseau d’eau potable, elle n’a aucun effet en termes de diminution des consommations. Par contre, elle permet une réduction de la facture pour l’usager. Une bonne solution à la fois économique et écologique peut-être de raccorder le « compteur vert » a un réseau d’eau brute, localisé à proximité de l’usager.</w:t>
      </w:r>
    </w:p>
    <w:p w14:paraId="0B1AF380" w14:textId="361480D3" w:rsidR="004402A3" w:rsidRDefault="00915CEF" w:rsidP="00BE6DC7">
      <w:pPr>
        <w:ind w:left="360"/>
        <w:rPr>
          <w:b/>
          <w:bCs/>
        </w:rPr>
      </w:pPr>
      <w:r>
        <w:rPr>
          <w:b/>
          <w:bCs/>
        </w:rPr>
        <w:t xml:space="preserve">Cette solution n’est pas forcément intéressante sur la commune car peu (aucune ?) installation agricole ne bénéficie de réseau d’assainissement collectif. </w:t>
      </w:r>
    </w:p>
    <w:p w14:paraId="4B9EFEEF" w14:textId="77777777" w:rsidR="00915CEF" w:rsidRPr="00915CEF" w:rsidRDefault="00915CEF" w:rsidP="00BE6DC7">
      <w:pPr>
        <w:ind w:left="360"/>
        <w:rPr>
          <w:b/>
          <w:bCs/>
        </w:rPr>
      </w:pPr>
    </w:p>
    <w:p w14:paraId="7BCEA6A4" w14:textId="77777777" w:rsidR="004402A3" w:rsidRPr="00915CEF" w:rsidRDefault="004402A3" w:rsidP="004402A3">
      <w:pPr>
        <w:pStyle w:val="Paragraphedeliste"/>
        <w:numPr>
          <w:ilvl w:val="0"/>
          <w:numId w:val="1"/>
        </w:numPr>
        <w:rPr>
          <w:b/>
          <w:bCs/>
        </w:rPr>
      </w:pPr>
      <w:r w:rsidRPr="00915CEF">
        <w:rPr>
          <w:b/>
          <w:bCs/>
        </w:rPr>
        <w:t xml:space="preserve">Un réseau d’eau brute. </w:t>
      </w:r>
    </w:p>
    <w:p w14:paraId="1ED90CAC" w14:textId="4D16B947" w:rsidR="004402A3" w:rsidRDefault="004402A3" w:rsidP="004402A3">
      <w:pPr>
        <w:ind w:left="360"/>
      </w:pPr>
      <w:r>
        <w:t xml:space="preserve">Mettre en place un réseau d’eau brute (non traitée, donc sans taxes pollution et assainissement), mais toujours soumise à la redevance prélèvement. Cette eau pourrait faire l’objet d’un tarif particulier. </w:t>
      </w:r>
    </w:p>
    <w:p w14:paraId="2438C8E6" w14:textId="30918175" w:rsidR="004402A3" w:rsidRDefault="004402A3" w:rsidP="004402A3"/>
    <w:p w14:paraId="59202544" w14:textId="4C89372D" w:rsidR="004402A3" w:rsidRPr="00915CEF" w:rsidRDefault="004402A3" w:rsidP="004402A3">
      <w:pPr>
        <w:rPr>
          <w:b/>
          <w:bCs/>
        </w:rPr>
      </w:pPr>
      <w:r w:rsidRPr="00915CEF">
        <w:rPr>
          <w:b/>
          <w:bCs/>
        </w:rPr>
        <w:t xml:space="preserve">Situations sur la commune : </w:t>
      </w:r>
    </w:p>
    <w:p w14:paraId="471690CA" w14:textId="6EB272BA" w:rsidR="004402A3" w:rsidRDefault="004402A3" w:rsidP="004402A3">
      <w:pPr>
        <w:pStyle w:val="Paragraphedeliste"/>
        <w:numPr>
          <w:ilvl w:val="0"/>
          <w:numId w:val="1"/>
        </w:numPr>
      </w:pPr>
      <w:r>
        <w:t>Sur Fraissinet de Lozère, les agriculteurs paient l’abonnement mais pas de consommation.</w:t>
      </w:r>
    </w:p>
    <w:p w14:paraId="4EE84713" w14:textId="3F8AA335" w:rsidR="00915CEF" w:rsidRDefault="00915CEF" w:rsidP="00915CEF">
      <w:pPr>
        <w:pStyle w:val="Paragraphedeliste"/>
        <w:numPr>
          <w:ilvl w:val="1"/>
          <w:numId w:val="1"/>
        </w:numPr>
      </w:pPr>
      <w:r>
        <w:t xml:space="preserve">Ex du </w:t>
      </w:r>
      <w:proofErr w:type="spellStart"/>
      <w:r>
        <w:t>gaec</w:t>
      </w:r>
      <w:proofErr w:type="spellEnd"/>
      <w:r>
        <w:t xml:space="preserve"> Thierry Mazoyer</w:t>
      </w:r>
    </w:p>
    <w:p w14:paraId="6532EA65" w14:textId="77777777" w:rsidR="00915CEF" w:rsidRDefault="004402A3" w:rsidP="004402A3">
      <w:pPr>
        <w:pStyle w:val="Paragraphedeliste"/>
        <w:numPr>
          <w:ilvl w:val="0"/>
          <w:numId w:val="1"/>
        </w:numPr>
      </w:pPr>
      <w:r>
        <w:t>Sur le Pont de Montvert – Sud Mont Lozère, les agriculteurs paient l’eau au tarif « normal » (qui est dégressif sur les très grands volumes).</w:t>
      </w:r>
      <w:r w:rsidR="00915CEF">
        <w:t xml:space="preserve"> </w:t>
      </w:r>
    </w:p>
    <w:p w14:paraId="1BFA29FC" w14:textId="44A41127" w:rsidR="004402A3" w:rsidRDefault="00915CEF" w:rsidP="00915CEF">
      <w:pPr>
        <w:pStyle w:val="Paragraphedeliste"/>
        <w:numPr>
          <w:ilvl w:val="1"/>
          <w:numId w:val="1"/>
        </w:numPr>
      </w:pPr>
      <w:r>
        <w:t>Ex de monsieur Romero</w:t>
      </w:r>
    </w:p>
    <w:p w14:paraId="00283277" w14:textId="17A8AB47" w:rsidR="004402A3" w:rsidRDefault="004402A3" w:rsidP="004402A3">
      <w:pPr>
        <w:pStyle w:val="Paragraphedeliste"/>
        <w:numPr>
          <w:ilvl w:val="0"/>
          <w:numId w:val="1"/>
        </w:numPr>
      </w:pPr>
      <w:r>
        <w:t>Sur St Maurice ceux qui sont branchés et one un abonnement paient l’eau « normalement »</w:t>
      </w:r>
    </w:p>
    <w:p w14:paraId="3CBF8C00" w14:textId="7AC44066" w:rsidR="004402A3" w:rsidRDefault="00915CEF" w:rsidP="004402A3">
      <w:pPr>
        <w:pStyle w:val="Paragraphedeliste"/>
        <w:numPr>
          <w:ilvl w:val="1"/>
          <w:numId w:val="1"/>
        </w:numPr>
      </w:pPr>
      <w:r>
        <w:t>Exception</w:t>
      </w:r>
      <w:r w:rsidR="004402A3">
        <w:t xml:space="preserve"> des </w:t>
      </w:r>
      <w:proofErr w:type="spellStart"/>
      <w:r w:rsidR="004402A3">
        <w:t>pantel</w:t>
      </w:r>
      <w:proofErr w:type="spellEnd"/>
      <w:r w:rsidR="004402A3">
        <w:t xml:space="preserve"> à </w:t>
      </w:r>
      <w:proofErr w:type="spellStart"/>
      <w:r w:rsidR="004402A3">
        <w:t>masmejean</w:t>
      </w:r>
      <w:proofErr w:type="spellEnd"/>
      <w:r w:rsidR="004402A3">
        <w:t xml:space="preserve"> qui bénéficient d’un « trop plein » du réservoir pour les jardins et l’étable</w:t>
      </w:r>
    </w:p>
    <w:p w14:paraId="6136CDE7" w14:textId="6FE6BD1B" w:rsidR="004402A3" w:rsidRDefault="004402A3" w:rsidP="004402A3">
      <w:pPr>
        <w:pStyle w:val="Paragraphedeliste"/>
        <w:numPr>
          <w:ilvl w:val="1"/>
          <w:numId w:val="1"/>
        </w:numPr>
      </w:pPr>
      <w:r>
        <w:t xml:space="preserve">Pas trouvé de branchement pour buisson ? </w:t>
      </w:r>
    </w:p>
    <w:p w14:paraId="01F19D56" w14:textId="00F43D06" w:rsidR="004402A3" w:rsidRDefault="004402A3" w:rsidP="00915CEF"/>
    <w:p w14:paraId="34D5B0E6" w14:textId="72DAFBC7" w:rsidR="00915CEF" w:rsidRDefault="00915CEF" w:rsidP="00915CEF">
      <w:r>
        <w:t xml:space="preserve">Conseil global :  tenter une tarification au forfait auprès du préfet. </w:t>
      </w:r>
    </w:p>
    <w:p w14:paraId="55F9EC84" w14:textId="3A7EE068" w:rsidR="00915CEF" w:rsidRDefault="00915CEF" w:rsidP="00915CEF">
      <w:r>
        <w:t xml:space="preserve">Sinon mettre tout les agriculteurs au prix normal </w:t>
      </w:r>
      <w:r>
        <w:sym w:font="Wingdings" w:char="F0E0"/>
      </w:r>
      <w:r>
        <w:t xml:space="preserve"> gros travail de vérification à faire. </w:t>
      </w:r>
    </w:p>
    <w:p w14:paraId="593C38EC" w14:textId="77777777" w:rsidR="00915CEF" w:rsidRDefault="00915CEF" w:rsidP="00915CEF"/>
    <w:p w14:paraId="076CC553" w14:textId="1E2E12BC" w:rsidR="00915CEF" w:rsidRDefault="00915CEF" w:rsidP="00915CEF">
      <w:pPr>
        <w:pStyle w:val="Paragraphedeliste"/>
        <w:ind w:left="0"/>
      </w:pPr>
      <w:r w:rsidRPr="00915CEF">
        <w:rPr>
          <w:noProof/>
        </w:rPr>
        <w:lastRenderedPageBreak/>
        <w:drawing>
          <wp:inline distT="0" distB="0" distL="0" distR="0" wp14:anchorId="15538E60" wp14:editId="3F211347">
            <wp:extent cx="6286063" cy="8183245"/>
            <wp:effectExtent l="0" t="0" r="635" b="825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4564" cy="8194312"/>
                    </a:xfrm>
                    <a:prstGeom prst="rect">
                      <a:avLst/>
                    </a:prstGeom>
                    <a:noFill/>
                    <a:ln>
                      <a:noFill/>
                    </a:ln>
                  </pic:spPr>
                </pic:pic>
              </a:graphicData>
            </a:graphic>
          </wp:inline>
        </w:drawing>
      </w:r>
    </w:p>
    <w:p w14:paraId="70DAAE2D" w14:textId="77777777" w:rsidR="00915CEF" w:rsidRDefault="00915CEF">
      <w:r>
        <w:br w:type="page"/>
      </w:r>
    </w:p>
    <w:p w14:paraId="104C459D" w14:textId="69DDFC9C" w:rsidR="00915CEF" w:rsidRDefault="00915CEF" w:rsidP="00915CEF">
      <w:pPr>
        <w:pStyle w:val="Paragraphedeliste"/>
        <w:ind w:left="0"/>
      </w:pPr>
      <w:r w:rsidRPr="00915CEF">
        <w:rPr>
          <w:noProof/>
        </w:rPr>
        <w:lastRenderedPageBreak/>
        <w:drawing>
          <wp:inline distT="0" distB="0" distL="0" distR="0" wp14:anchorId="6E5ABD31" wp14:editId="50FBAEA4">
            <wp:extent cx="5760720" cy="813625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8136255"/>
                    </a:xfrm>
                    <a:prstGeom prst="rect">
                      <a:avLst/>
                    </a:prstGeom>
                    <a:noFill/>
                    <a:ln>
                      <a:noFill/>
                    </a:ln>
                  </pic:spPr>
                </pic:pic>
              </a:graphicData>
            </a:graphic>
          </wp:inline>
        </w:drawing>
      </w:r>
    </w:p>
    <w:sectPr w:rsidR="00915CEF">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8A0448" w14:textId="77777777" w:rsidR="009B1302" w:rsidRDefault="009B1302" w:rsidP="009B1302">
      <w:pPr>
        <w:spacing w:after="0" w:line="240" w:lineRule="auto"/>
      </w:pPr>
      <w:r>
        <w:separator/>
      </w:r>
    </w:p>
  </w:endnote>
  <w:endnote w:type="continuationSeparator" w:id="0">
    <w:p w14:paraId="06B9CB37" w14:textId="77777777" w:rsidR="009B1302" w:rsidRDefault="009B1302" w:rsidP="009B1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C783E" w14:textId="77777777" w:rsidR="009B1302" w:rsidRDefault="009B130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8AD13" w14:textId="77777777" w:rsidR="009B1302" w:rsidRDefault="009B130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2E41E" w14:textId="77777777" w:rsidR="009B1302" w:rsidRDefault="009B130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5F100" w14:textId="77777777" w:rsidR="009B1302" w:rsidRDefault="009B1302" w:rsidP="009B1302">
      <w:pPr>
        <w:spacing w:after="0" w:line="240" w:lineRule="auto"/>
      </w:pPr>
      <w:r>
        <w:separator/>
      </w:r>
    </w:p>
  </w:footnote>
  <w:footnote w:type="continuationSeparator" w:id="0">
    <w:p w14:paraId="78383D0A" w14:textId="77777777" w:rsidR="009B1302" w:rsidRDefault="009B1302" w:rsidP="009B1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B357B" w14:textId="77777777" w:rsidR="009B1302" w:rsidRDefault="009B130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3210121"/>
      <w:docPartObj>
        <w:docPartGallery w:val="Watermarks"/>
        <w:docPartUnique/>
      </w:docPartObj>
    </w:sdtPr>
    <w:sdtContent>
      <w:p w14:paraId="67B63667" w14:textId="23CF27CB" w:rsidR="009B1302" w:rsidRDefault="009B1302">
        <w:pPr>
          <w:pStyle w:val="En-tte"/>
        </w:pPr>
        <w:r>
          <w:pict w14:anchorId="62A63A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49" type="#_x0000_t136" style="position:absolute;margin-left:0;margin-top:0;width:527.85pt;height:131.95pt;rotation:315;z-index:-251657216;mso-position-horizontal:center;mso-position-horizontal-relative:margin;mso-position-vertical:center;mso-position-vertical-relative:margin" o:allowincell="f" fillcolor="silver" stroked="f">
              <v:fill opacity=".5"/>
              <v:textpath style="font-family:&quot;calibri&quot;;font-size:1pt" string="CONFIDENTIEL"/>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68206" w14:textId="77777777" w:rsidR="009B1302" w:rsidRDefault="009B130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6B35F5"/>
    <w:multiLevelType w:val="hybridMultilevel"/>
    <w:tmpl w:val="9E7449EA"/>
    <w:lvl w:ilvl="0" w:tplc="F842983C">
      <w:start w:val="1500"/>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2F05DD3"/>
    <w:multiLevelType w:val="multilevel"/>
    <w:tmpl w:val="64DCD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DC7"/>
    <w:rsid w:val="004402A3"/>
    <w:rsid w:val="00915CEF"/>
    <w:rsid w:val="009B1302"/>
    <w:rsid w:val="00BE6DC7"/>
    <w:rsid w:val="00CD49C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1AF4DD"/>
  <w15:chartTrackingRefBased/>
  <w15:docId w15:val="{D061861D-F1D5-4D44-95C3-016074FFF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E6DC7"/>
    <w:rPr>
      <w:color w:val="0563C1" w:themeColor="hyperlink"/>
      <w:u w:val="single"/>
    </w:rPr>
  </w:style>
  <w:style w:type="character" w:styleId="Mentionnonrsolue">
    <w:name w:val="Unresolved Mention"/>
    <w:basedOn w:val="Policepardfaut"/>
    <w:uiPriority w:val="99"/>
    <w:semiHidden/>
    <w:unhideWhenUsed/>
    <w:rsid w:val="00BE6DC7"/>
    <w:rPr>
      <w:color w:val="605E5C"/>
      <w:shd w:val="clear" w:color="auto" w:fill="E1DFDD"/>
    </w:rPr>
  </w:style>
  <w:style w:type="paragraph" w:styleId="Paragraphedeliste">
    <w:name w:val="List Paragraph"/>
    <w:basedOn w:val="Normal"/>
    <w:uiPriority w:val="34"/>
    <w:qFormat/>
    <w:rsid w:val="00BE6DC7"/>
    <w:pPr>
      <w:ind w:left="720"/>
      <w:contextualSpacing/>
    </w:pPr>
  </w:style>
  <w:style w:type="paragraph" w:styleId="NormalWeb">
    <w:name w:val="Normal (Web)"/>
    <w:basedOn w:val="Normal"/>
    <w:uiPriority w:val="99"/>
    <w:semiHidden/>
    <w:unhideWhenUsed/>
    <w:rsid w:val="00BE6DC7"/>
    <w:rPr>
      <w:rFonts w:ascii="Times New Roman" w:hAnsi="Times New Roman" w:cs="Times New Roman"/>
      <w:sz w:val="24"/>
      <w:szCs w:val="24"/>
    </w:rPr>
  </w:style>
  <w:style w:type="paragraph" w:styleId="En-tte">
    <w:name w:val="header"/>
    <w:basedOn w:val="Normal"/>
    <w:link w:val="En-tteCar"/>
    <w:uiPriority w:val="99"/>
    <w:unhideWhenUsed/>
    <w:rsid w:val="009B1302"/>
    <w:pPr>
      <w:tabs>
        <w:tab w:val="center" w:pos="4536"/>
        <w:tab w:val="right" w:pos="9072"/>
      </w:tabs>
      <w:spacing w:after="0" w:line="240" w:lineRule="auto"/>
    </w:pPr>
  </w:style>
  <w:style w:type="character" w:customStyle="1" w:styleId="En-tteCar">
    <w:name w:val="En-tête Car"/>
    <w:basedOn w:val="Policepardfaut"/>
    <w:link w:val="En-tte"/>
    <w:uiPriority w:val="99"/>
    <w:rsid w:val="009B1302"/>
  </w:style>
  <w:style w:type="paragraph" w:styleId="Pieddepage">
    <w:name w:val="footer"/>
    <w:basedOn w:val="Normal"/>
    <w:link w:val="PieddepageCar"/>
    <w:uiPriority w:val="99"/>
    <w:unhideWhenUsed/>
    <w:rsid w:val="009B130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B1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0776745">
      <w:bodyDiv w:val="1"/>
      <w:marLeft w:val="0"/>
      <w:marRight w:val="0"/>
      <w:marTop w:val="0"/>
      <w:marBottom w:val="0"/>
      <w:divBdr>
        <w:top w:val="none" w:sz="0" w:space="0" w:color="auto"/>
        <w:left w:val="none" w:sz="0" w:space="0" w:color="auto"/>
        <w:bottom w:val="none" w:sz="0" w:space="0" w:color="auto"/>
        <w:right w:val="none" w:sz="0" w:space="0" w:color="auto"/>
      </w:divBdr>
    </w:div>
    <w:div w:id="203079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france.gouv.fr/affichCodeArticle.do;jsessionid=C42D1D325D96BCC1D4C969903506DE9E.tpdjo07v_1?idArticle=LEGIARTI000006390375&amp;cidTexte=LEGITEXT000006070633&amp;dateTexte=20100927"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D1D3E-4721-41C3-9C0F-216898A13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833</Words>
  <Characters>4586</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Mairie Pont de Montvert - SML</dc:creator>
  <cp:keywords/>
  <dc:description/>
  <cp:lastModifiedBy>Mairie Pont de Montvert - SML</cp:lastModifiedBy>
  <cp:revision>2</cp:revision>
  <dcterms:created xsi:type="dcterms:W3CDTF">2020-12-11T15:39:00Z</dcterms:created>
  <dcterms:modified xsi:type="dcterms:W3CDTF">2020-12-11T16:11:00Z</dcterms:modified>
</cp:coreProperties>
</file>